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13" w:rsidRDefault="00A06713" w:rsidP="008B61D7">
      <w:pPr>
        <w:keepNext/>
        <w:ind w:right="27"/>
        <w:jc w:val="center"/>
        <w:outlineLvl w:val="0"/>
        <w:rPr>
          <w:b/>
          <w:iCs/>
          <w:noProof/>
          <w:sz w:val="28"/>
          <w:szCs w:val="28"/>
          <w:lang w:val="sr-Latn-CS"/>
        </w:rPr>
      </w:pPr>
    </w:p>
    <w:p w:rsidR="00BC1E49" w:rsidRPr="008B61D7" w:rsidRDefault="008B61D7" w:rsidP="008B61D7">
      <w:pPr>
        <w:keepNext/>
        <w:ind w:right="27"/>
        <w:jc w:val="center"/>
        <w:outlineLvl w:val="0"/>
        <w:rPr>
          <w:b/>
          <w:iCs/>
          <w:noProof/>
          <w:sz w:val="28"/>
          <w:szCs w:val="28"/>
          <w:lang w:val="sr-Latn-CS"/>
        </w:rPr>
      </w:pPr>
      <w:r>
        <w:rPr>
          <w:b/>
          <w:iCs/>
          <w:noProof/>
          <w:sz w:val="28"/>
          <w:szCs w:val="28"/>
          <w:lang w:val="sr-Latn-CS"/>
        </w:rPr>
        <w:t>ZAKON</w:t>
      </w:r>
    </w:p>
    <w:p w:rsidR="00BC1E49" w:rsidRPr="008B61D7" w:rsidRDefault="008B61D7" w:rsidP="00BC1E49">
      <w:pPr>
        <w:keepNext/>
        <w:ind w:right="27"/>
        <w:jc w:val="center"/>
        <w:outlineLvl w:val="0"/>
        <w:rPr>
          <w:b/>
          <w:iCs/>
          <w:noProof/>
          <w:sz w:val="28"/>
          <w:szCs w:val="28"/>
          <w:lang w:val="sr-Latn-CS"/>
        </w:rPr>
      </w:pPr>
      <w:r>
        <w:rPr>
          <w:b/>
          <w:iCs/>
          <w:noProof/>
          <w:sz w:val="28"/>
          <w:szCs w:val="28"/>
          <w:lang w:val="sr-Latn-CS"/>
        </w:rPr>
        <w:t>O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</w:t>
      </w:r>
      <w:r>
        <w:rPr>
          <w:b/>
          <w:iCs/>
          <w:noProof/>
          <w:sz w:val="28"/>
          <w:szCs w:val="28"/>
          <w:lang w:val="sr-Latn-CS"/>
        </w:rPr>
        <w:t>IZVRŠENJU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</w:t>
      </w:r>
      <w:r>
        <w:rPr>
          <w:b/>
          <w:iCs/>
          <w:noProof/>
          <w:sz w:val="28"/>
          <w:szCs w:val="28"/>
          <w:lang w:val="sr-Latn-CS"/>
        </w:rPr>
        <w:t>BUDŽETA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</w:t>
      </w:r>
      <w:r>
        <w:rPr>
          <w:b/>
          <w:iCs/>
          <w:noProof/>
          <w:sz w:val="28"/>
          <w:szCs w:val="28"/>
          <w:lang w:val="sr-Latn-CS"/>
        </w:rPr>
        <w:t>REPUBLIKE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</w:t>
      </w:r>
      <w:r>
        <w:rPr>
          <w:b/>
          <w:iCs/>
          <w:noProof/>
          <w:sz w:val="28"/>
          <w:szCs w:val="28"/>
          <w:lang w:val="sr-Latn-CS"/>
        </w:rPr>
        <w:t>SRPSKE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</w:t>
      </w:r>
      <w:r>
        <w:rPr>
          <w:b/>
          <w:iCs/>
          <w:noProof/>
          <w:sz w:val="28"/>
          <w:szCs w:val="28"/>
          <w:lang w:val="sr-Latn-CS"/>
        </w:rPr>
        <w:t>ZA</w:t>
      </w:r>
      <w:r w:rsidR="00BC1E49" w:rsidRPr="008B61D7">
        <w:rPr>
          <w:b/>
          <w:iCs/>
          <w:noProof/>
          <w:sz w:val="28"/>
          <w:szCs w:val="28"/>
          <w:lang w:val="sr-Latn-CS"/>
        </w:rPr>
        <w:t xml:space="preserve"> 2022. </w:t>
      </w:r>
      <w:r>
        <w:rPr>
          <w:b/>
          <w:iCs/>
          <w:noProof/>
          <w:sz w:val="28"/>
          <w:szCs w:val="28"/>
          <w:lang w:val="sr-Latn-CS"/>
        </w:rPr>
        <w:t>GODINU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1.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</w:r>
      <w:r w:rsidRPr="008B61D7">
        <w:rPr>
          <w:noProof/>
          <w:lang w:val="sr-Latn-CS"/>
        </w:rPr>
        <w:tab/>
      </w:r>
      <w:r w:rsidRPr="008B61D7">
        <w:rPr>
          <w:noProof/>
          <w:lang w:val="sr-Latn-CS"/>
        </w:rPr>
        <w:tab/>
      </w:r>
      <w:r w:rsidR="008B61D7">
        <w:rPr>
          <w:noProof/>
          <w:lang w:val="sr-Latn-CS"/>
        </w:rPr>
        <w:t>Ovim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zakonom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propisuje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način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izvršenja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2022. </w:t>
      </w:r>
      <w:r w:rsidR="008B61D7">
        <w:rPr>
          <w:noProof/>
          <w:lang w:val="sr-Latn-CS"/>
        </w:rPr>
        <w:t>godinu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daljem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tekstu</w:t>
      </w:r>
      <w:r w:rsidRPr="008B61D7">
        <w:rPr>
          <w:noProof/>
          <w:lang w:val="sr-Latn-CS"/>
        </w:rPr>
        <w:t xml:space="preserve">: </w:t>
      </w:r>
      <w:r w:rsidR="008B61D7">
        <w:rPr>
          <w:noProof/>
          <w:lang w:val="sr-Latn-CS"/>
        </w:rPr>
        <w:t>Budžet</w:t>
      </w:r>
      <w:r w:rsidRPr="008B61D7">
        <w:rPr>
          <w:noProof/>
          <w:lang w:val="sr-Latn-CS"/>
        </w:rPr>
        <w:t xml:space="preserve">). </w:t>
      </w:r>
    </w:p>
    <w:p w:rsidR="00BC1E49" w:rsidRDefault="00BC1E49" w:rsidP="00BC1E49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 </w:t>
      </w:r>
    </w:p>
    <w:p w:rsidR="00A06713" w:rsidRPr="008B61D7" w:rsidRDefault="00A06713" w:rsidP="00BC1E49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2.</w:t>
      </w:r>
    </w:p>
    <w:p w:rsidR="00BC1E49" w:rsidRPr="008B61D7" w:rsidRDefault="00BC1E49" w:rsidP="00BC1E49">
      <w:pPr>
        <w:ind w:right="27"/>
        <w:jc w:val="center"/>
        <w:rPr>
          <w:rStyle w:val="Emphasis"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(1) </w:t>
      </w:r>
      <w:r w:rsidR="008B61D7">
        <w:rPr>
          <w:noProof/>
          <w:lang w:val="sr-Latn-CS"/>
        </w:rPr>
        <w:t>Budžetom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utvrđuje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visina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izdataka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nefinansijsku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uvećanih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iznos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negativnog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neto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finansiranja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(2) </w:t>
      </w:r>
      <w:r w:rsidR="008B61D7">
        <w:rPr>
          <w:noProof/>
          <w:lang w:val="sr-Latn-CS"/>
        </w:rPr>
        <w:t>Budžet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sastoji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sljedećih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dijelova</w:t>
      </w:r>
      <w:r w:rsidRPr="008B61D7">
        <w:rPr>
          <w:noProof/>
          <w:lang w:val="sr-Latn-CS"/>
        </w:rPr>
        <w:t xml:space="preserve">: </w:t>
      </w:r>
      <w:r w:rsidR="008B61D7">
        <w:rPr>
          <w:noProof/>
          <w:lang w:val="sr-Latn-CS"/>
        </w:rPr>
        <w:t>Opšti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dio</w:t>
      </w:r>
      <w:r w:rsidRPr="008B61D7">
        <w:rPr>
          <w:noProof/>
          <w:lang w:val="sr-Latn-CS"/>
        </w:rPr>
        <w:t xml:space="preserve">;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primici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nefinansijsku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imovinu</w:t>
      </w:r>
      <w:r w:rsidRPr="008B61D7">
        <w:rPr>
          <w:noProof/>
          <w:lang w:val="sr-Latn-CS"/>
        </w:rPr>
        <w:t xml:space="preserve">;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nefinansijsku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imovinu</w:t>
      </w:r>
      <w:r w:rsidRPr="008B61D7">
        <w:rPr>
          <w:noProof/>
          <w:lang w:val="sr-Latn-CS"/>
        </w:rPr>
        <w:t xml:space="preserve">; </w:t>
      </w:r>
      <w:r w:rsidR="008B61D7">
        <w:rPr>
          <w:noProof/>
          <w:lang w:val="sr-Latn-CS"/>
        </w:rPr>
        <w:t>Račun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finansiranja</w:t>
      </w:r>
      <w:r w:rsidRPr="008B61D7">
        <w:rPr>
          <w:noProof/>
          <w:lang w:val="sr-Latn-CS"/>
        </w:rPr>
        <w:t xml:space="preserve">;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korisnicima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organizaciona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klasifikacija</w:t>
      </w:r>
      <w:r w:rsidRPr="008B61D7">
        <w:rPr>
          <w:noProof/>
          <w:lang w:val="sr-Latn-CS"/>
        </w:rPr>
        <w:t xml:space="preserve">); </w:t>
      </w:r>
      <w:r w:rsidR="008B61D7">
        <w:rPr>
          <w:noProof/>
          <w:lang w:val="sr-Latn-CS"/>
        </w:rPr>
        <w:t>Prihodi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primici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ostvareni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02); </w:t>
      </w:r>
      <w:r w:rsidR="008B61D7">
        <w:rPr>
          <w:noProof/>
          <w:lang w:val="sr-Latn-CS"/>
        </w:rPr>
        <w:t>Funkcionalno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klasifikovani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neto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nabavka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nefinansijske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imovine</w:t>
      </w:r>
      <w:r w:rsidRPr="008B61D7">
        <w:rPr>
          <w:noProof/>
          <w:lang w:val="sr-Latn-CS"/>
        </w:rPr>
        <w:t xml:space="preserve">. </w:t>
      </w: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</w:r>
      <w:r w:rsidRPr="008B61D7">
        <w:rPr>
          <w:noProof/>
          <w:lang w:val="sr-Latn-CS"/>
        </w:rPr>
        <w:tab/>
      </w:r>
      <w:r w:rsidRPr="008B61D7">
        <w:rPr>
          <w:noProof/>
          <w:lang w:val="sr-Latn-CS"/>
        </w:rPr>
        <w:tab/>
        <w:t xml:space="preserve">(3) </w:t>
      </w:r>
      <w:r w:rsidR="008B61D7">
        <w:rPr>
          <w:noProof/>
          <w:lang w:val="sr-Latn-CS"/>
        </w:rPr>
        <w:t>Ukupni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uključujući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izdatke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otplatu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duga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raspoređuju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Odlukom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usvajanju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2022. </w:t>
      </w:r>
      <w:r w:rsidR="008B61D7">
        <w:rPr>
          <w:noProof/>
          <w:lang w:val="sr-Latn-CS"/>
        </w:rPr>
        <w:t>godinu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3.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(1) </w:t>
      </w:r>
      <w:r w:rsidR="008B61D7">
        <w:rPr>
          <w:noProof/>
          <w:lang w:val="sr-Latn-CS"/>
        </w:rPr>
        <w:t>Budžetska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jednoj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fiskalnoj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godini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primici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nefinansijsku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imovinu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primici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finansijske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zaduženja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tekuće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fiskalne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godine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neutrošena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namjenska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grantova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transfera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ranijih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perioda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suficit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raspoređen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odlukom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nadležnog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organa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01).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(2) </w:t>
      </w:r>
      <w:r w:rsidR="008B61D7">
        <w:rPr>
          <w:noProof/>
          <w:lang w:val="sr-Latn-CS"/>
        </w:rPr>
        <w:t>Vlastite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prihode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prihode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republičkih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organa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organizacija</w:t>
      </w:r>
      <w:r w:rsidRPr="008B61D7">
        <w:rPr>
          <w:noProof/>
          <w:lang w:val="sr-Latn-CS"/>
        </w:rPr>
        <w:t xml:space="preserve">) </w:t>
      </w:r>
      <w:r w:rsidR="008B61D7">
        <w:rPr>
          <w:noProof/>
          <w:lang w:val="sr-Latn-CS"/>
        </w:rPr>
        <w:t>mogu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iznosu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100%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) </w:t>
      </w:r>
      <w:r w:rsidR="008B61D7">
        <w:rPr>
          <w:noProof/>
          <w:lang w:val="sr-Latn-CS"/>
        </w:rPr>
        <w:t>sljedeći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korisnici</w:t>
      </w:r>
      <w:r w:rsidRPr="008B61D7">
        <w:rPr>
          <w:noProof/>
          <w:lang w:val="sr-Latn-CS"/>
        </w:rPr>
        <w:t xml:space="preserve">: 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1) </w:t>
      </w:r>
      <w:r w:rsidR="008B61D7">
        <w:rPr>
          <w:noProof/>
          <w:lang w:val="sr-Latn-CS"/>
        </w:rPr>
        <w:t>institucije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osnovnog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obrazovanja</w:t>
      </w:r>
      <w:r w:rsidRPr="008B61D7">
        <w:rPr>
          <w:noProof/>
          <w:lang w:val="sr-Latn-CS"/>
        </w:rPr>
        <w:t xml:space="preserve">, 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2) </w:t>
      </w:r>
      <w:r w:rsidR="008B61D7">
        <w:rPr>
          <w:noProof/>
          <w:lang w:val="sr-Latn-CS"/>
        </w:rPr>
        <w:t>institucije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visokog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obrazovanja</w:t>
      </w:r>
      <w:r w:rsidRPr="008B61D7">
        <w:rPr>
          <w:noProof/>
          <w:lang w:val="sr-Latn-CS"/>
        </w:rPr>
        <w:t xml:space="preserve">, 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3) </w:t>
      </w:r>
      <w:r w:rsidR="008B61D7">
        <w:rPr>
          <w:noProof/>
          <w:lang w:val="sr-Latn-CS"/>
        </w:rPr>
        <w:t>Arhiv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, 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4) </w:t>
      </w:r>
      <w:r w:rsidR="008B61D7">
        <w:rPr>
          <w:noProof/>
          <w:lang w:val="sr-Latn-CS"/>
        </w:rPr>
        <w:t>kazneno</w:t>
      </w:r>
      <w:r w:rsidRPr="008B61D7">
        <w:rPr>
          <w:noProof/>
          <w:lang w:val="sr-Latn-CS"/>
        </w:rPr>
        <w:t>-</w:t>
      </w:r>
      <w:r w:rsidR="008B61D7">
        <w:rPr>
          <w:noProof/>
          <w:lang w:val="sr-Latn-CS"/>
        </w:rPr>
        <w:t>popravni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zavodi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(3) </w:t>
      </w:r>
      <w:r w:rsidR="008B61D7">
        <w:rPr>
          <w:noProof/>
          <w:lang w:val="sr-Latn-CS"/>
        </w:rPr>
        <w:t>Ministarstvo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unutrašnjih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poslova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>: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1)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prodaje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naoružanja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stalne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iznosu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100%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),</w:t>
      </w: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2)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uplata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naknada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vozača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predavanja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posljedicama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proizlaze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nepoštovanja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ili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nepoznavanja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bezbjednosti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saobraćaja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putevima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iznosu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100%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(4) </w:t>
      </w:r>
      <w:r w:rsidR="008B61D7">
        <w:rPr>
          <w:noProof/>
          <w:lang w:val="sr-Latn-CS"/>
        </w:rPr>
        <w:t>Odluku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prodaji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stalne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stava</w:t>
      </w:r>
      <w:r w:rsidRPr="008B61D7">
        <w:rPr>
          <w:noProof/>
          <w:lang w:val="sr-Latn-CS"/>
        </w:rPr>
        <w:t xml:space="preserve"> 3. </w:t>
      </w:r>
      <w:r w:rsidR="008B61D7">
        <w:rPr>
          <w:noProof/>
          <w:lang w:val="sr-Latn-CS"/>
        </w:rPr>
        <w:t>tačka</w:t>
      </w:r>
      <w:r w:rsidRPr="008B61D7">
        <w:rPr>
          <w:noProof/>
          <w:lang w:val="sr-Latn-CS"/>
        </w:rPr>
        <w:t xml:space="preserve"> 1)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donosi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daljem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tekstu</w:t>
      </w:r>
      <w:r w:rsidRPr="008B61D7">
        <w:rPr>
          <w:noProof/>
          <w:lang w:val="sr-Latn-CS"/>
        </w:rPr>
        <w:t xml:space="preserve">: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(5) </w:t>
      </w:r>
      <w:r w:rsidR="008B61D7">
        <w:rPr>
          <w:noProof/>
          <w:lang w:val="sr-Latn-CS"/>
        </w:rPr>
        <w:t>Ministarstvo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unutrašnjih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poslova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prodaje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naoružanja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prodaje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stalne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stava</w:t>
      </w:r>
      <w:r w:rsidRPr="008B61D7">
        <w:rPr>
          <w:noProof/>
          <w:lang w:val="sr-Latn-CS"/>
        </w:rPr>
        <w:t xml:space="preserve"> 3. </w:t>
      </w:r>
      <w:r w:rsidR="008B61D7">
        <w:rPr>
          <w:noProof/>
          <w:lang w:val="sr-Latn-CS"/>
        </w:rPr>
        <w:t>tačka</w:t>
      </w:r>
      <w:r w:rsidRPr="008B61D7">
        <w:rPr>
          <w:noProof/>
          <w:lang w:val="sr-Latn-CS"/>
        </w:rPr>
        <w:t xml:space="preserve"> 1)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internom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planu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programu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odobrava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lastRenderedPageBreak/>
        <w:t xml:space="preserve">(6) </w:t>
      </w:r>
      <w:r w:rsidR="008B61D7">
        <w:rPr>
          <w:noProof/>
          <w:lang w:val="sr-Latn-CS"/>
        </w:rPr>
        <w:t>Agencija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bezbjednost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saobraćaja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uplaćuju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društva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osiguranje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filijale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društava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osiguranje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Federacije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Bosne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Hercegovine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kao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dio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preventive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realizaciju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projekata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unapređivanja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bezbjednosti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saobraćaja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iznosu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100%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(7) </w:t>
      </w:r>
      <w:r w:rsidR="008B61D7">
        <w:rPr>
          <w:noProof/>
          <w:lang w:val="sr-Latn-CS"/>
        </w:rPr>
        <w:t>Prihodi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izdavanja</w:t>
      </w:r>
      <w:r w:rsidRPr="008B61D7">
        <w:rPr>
          <w:noProof/>
          <w:lang w:val="sr-Latn-CS"/>
        </w:rPr>
        <w:t xml:space="preserve"> GSM </w:t>
      </w:r>
      <w:r w:rsidR="008B61D7">
        <w:rPr>
          <w:noProof/>
          <w:lang w:val="sr-Latn-CS"/>
        </w:rPr>
        <w:t>licenci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Bosnu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Hercegovinu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odnosno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Srpsku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koriste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odlukama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Vlade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namjeni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dinamici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načinu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trošenja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GSM </w:t>
      </w:r>
      <w:r w:rsidR="008B61D7">
        <w:rPr>
          <w:noProof/>
          <w:lang w:val="sr-Latn-CS"/>
        </w:rPr>
        <w:t>licenci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(8) </w:t>
      </w:r>
      <w:r w:rsidR="008B61D7">
        <w:rPr>
          <w:noProof/>
          <w:lang w:val="sr-Latn-CS"/>
        </w:rPr>
        <w:t>Prihodi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putarin</w:t>
      </w:r>
      <w:r w:rsidRPr="008B61D7">
        <w:rPr>
          <w:noProof/>
          <w:lang w:val="sr-Latn-CS"/>
        </w:rPr>
        <w:t xml:space="preserve">a </w:t>
      </w:r>
      <w:r w:rsidR="008B61D7">
        <w:rPr>
          <w:noProof/>
          <w:lang w:val="sr-Latn-CS"/>
        </w:rPr>
        <w:t>kao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vrste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indirektnih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poreza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plaćenih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naftne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derivate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oblasti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(9)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depozita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sudovi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okružni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sudovi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okružni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privredni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sudovi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oblasti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(10)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depozita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Republički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devizni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inspektorat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(11)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upravljanja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oduzetom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Agencija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upravljanje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oduzetom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imovinom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oblasti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(12)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osnovu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upravljanja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robom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oduzetom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postupku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inspekcijskog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nadzora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Republička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uprava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inspekcijske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poslove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ove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oblasti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(13) </w:t>
      </w:r>
      <w:r w:rsidR="008B61D7">
        <w:rPr>
          <w:iCs/>
          <w:noProof/>
          <w:lang w:val="sr-Latn-CS"/>
        </w:rPr>
        <w:t>Neutrošena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Glavn</w:t>
      </w:r>
      <w:r w:rsidRPr="008B61D7">
        <w:rPr>
          <w:iCs/>
          <w:noProof/>
          <w:lang w:val="sr-Latn-CS"/>
        </w:rPr>
        <w:t xml:space="preserve">e </w:t>
      </w:r>
      <w:r w:rsidR="008B61D7">
        <w:rPr>
          <w:iCs/>
          <w:noProof/>
          <w:lang w:val="sr-Latn-CS"/>
        </w:rPr>
        <w:t>služb</w:t>
      </w:r>
      <w:r w:rsidRPr="008B61D7">
        <w:rPr>
          <w:iCs/>
          <w:noProof/>
          <w:lang w:val="sr-Latn-CS"/>
        </w:rPr>
        <w:t xml:space="preserve">e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reviziju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sektora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prenesena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ranijih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koja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služe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njen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razvoj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unapređivanje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kamata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oročena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ostvarene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revizijama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sprovode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reviziji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sektora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02 – 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), </w:t>
      </w:r>
      <w:r w:rsidR="008B61D7">
        <w:rPr>
          <w:iCs/>
          <w:noProof/>
          <w:lang w:val="sr-Latn-CS"/>
        </w:rPr>
        <w:t>koristi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Glavna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služba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reviziju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sektora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 xml:space="preserve">(14)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prikupljena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naknada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mjere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zaštite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požara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Republička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uprava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civilne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zaštite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opremanje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obuke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vatrogasno</w:t>
      </w:r>
      <w:r w:rsidRPr="008B61D7">
        <w:rPr>
          <w:iCs/>
          <w:noProof/>
          <w:lang w:val="sr-Latn-CS"/>
        </w:rPr>
        <w:t>-</w:t>
      </w:r>
      <w:r w:rsidR="008B61D7">
        <w:rPr>
          <w:iCs/>
          <w:noProof/>
          <w:lang w:val="sr-Latn-CS"/>
        </w:rPr>
        <w:t>spasilačkih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jedinica</w:t>
      </w:r>
      <w:r w:rsidRPr="008B61D7">
        <w:rPr>
          <w:iCs/>
          <w:noProof/>
          <w:lang w:val="sr-Latn-CS"/>
        </w:rPr>
        <w:t xml:space="preserve"> </w:t>
      </w:r>
      <w:r w:rsidRPr="008B61D7">
        <w:rPr>
          <w:noProof/>
          <w:lang w:val="sr-Latn-CS"/>
        </w:rPr>
        <w:t>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(15)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uplaćena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Direkcije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civilno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vazduhoplovstvo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BiH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Sporazumom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saradnji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potrebe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traganja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spašavanja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Helikopterski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servis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 (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02 – </w:t>
      </w:r>
      <w:r w:rsidR="008B61D7">
        <w:rPr>
          <w:noProof/>
          <w:lang w:val="sr-Latn-CS"/>
        </w:rPr>
        <w:t>Fond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prihoda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posebnim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propisima</w:t>
      </w:r>
      <w:r w:rsidRPr="008B61D7">
        <w:rPr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 xml:space="preserve">(16)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donacija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grantova</w:t>
      </w:r>
      <w:r w:rsidRPr="008B61D7">
        <w:rPr>
          <w:iCs/>
          <w:noProof/>
          <w:lang w:val="sr-Latn-CS"/>
        </w:rPr>
        <w:t xml:space="preserve">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100%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03 – 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grantova</w:t>
      </w:r>
      <w:r w:rsidRPr="008B61D7">
        <w:rPr>
          <w:iCs/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 xml:space="preserve">(17) </w:t>
      </w:r>
      <w:r w:rsidR="008B61D7">
        <w:rPr>
          <w:iCs/>
          <w:noProof/>
          <w:lang w:val="sr-Latn-CS"/>
        </w:rPr>
        <w:t>Prihodi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privatizacije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sukcesije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oblasti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04 – 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privatizacije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sukcesije</w:t>
      </w:r>
      <w:r w:rsidRPr="008B61D7">
        <w:rPr>
          <w:iCs/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(18) </w:t>
      </w:r>
      <w:r w:rsidR="008B61D7">
        <w:rPr>
          <w:iCs/>
          <w:noProof/>
          <w:lang w:val="sr-Latn-CS"/>
        </w:rPr>
        <w:t>Prihodi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finansiranja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realizaciju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programima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podrške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05 – 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projekte</w:t>
      </w:r>
      <w:r w:rsidRPr="008B61D7">
        <w:rPr>
          <w:iCs/>
          <w:noProof/>
          <w:lang w:val="sr-Latn-CS"/>
        </w:rPr>
        <w:t>).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 xml:space="preserve">(19) </w:t>
      </w:r>
      <w:r w:rsidR="008B61D7">
        <w:rPr>
          <w:iCs/>
          <w:noProof/>
          <w:lang w:val="sr-Latn-CS"/>
        </w:rPr>
        <w:t>Prihodi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</w:t>
      </w:r>
      <w:r w:rsidRPr="008B61D7">
        <w:rPr>
          <w:iCs/>
          <w:noProof/>
          <w:lang w:val="sr-Latn-CS"/>
        </w:rPr>
        <w:t xml:space="preserve">. 2, 3, 6, 7, 8, 9, 10, 11, 12, 13, 14, 15, 16, 17.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18.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naplaćuju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raspoređuju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>.</w:t>
      </w:r>
      <w:r w:rsidRPr="008B61D7">
        <w:rPr>
          <w:noProof/>
          <w:lang w:val="sr-Latn-CS"/>
        </w:rPr>
        <w:t xml:space="preserve"> </w:t>
      </w:r>
    </w:p>
    <w:p w:rsidR="00BC1E49" w:rsidRPr="008B61D7" w:rsidRDefault="00BC1E49" w:rsidP="00BC1E49">
      <w:pPr>
        <w:ind w:right="27"/>
        <w:rPr>
          <w:iCs/>
          <w:noProof/>
          <w:lang w:val="sr-Latn-CS"/>
        </w:rPr>
      </w:pPr>
    </w:p>
    <w:p w:rsidR="008B61D7" w:rsidRDefault="008B61D7" w:rsidP="00BC1E49">
      <w:pPr>
        <w:ind w:right="27"/>
        <w:jc w:val="center"/>
        <w:rPr>
          <w:iCs/>
          <w:noProof/>
          <w:lang w:val="bs-Cyrl-BA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BC1E49" w:rsidRPr="008B61D7">
        <w:rPr>
          <w:iCs/>
          <w:noProof/>
          <w:lang w:val="sr-Latn-CS"/>
        </w:rPr>
        <w:t xml:space="preserve"> 4.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tekući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transferi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između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unutar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jedinica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vlasti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otplatu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>.</w:t>
      </w:r>
    </w:p>
    <w:p w:rsidR="008B61D7" w:rsidRDefault="008B61D7" w:rsidP="00BC1E49">
      <w:pPr>
        <w:ind w:right="27"/>
        <w:jc w:val="center"/>
        <w:rPr>
          <w:iCs/>
          <w:noProof/>
          <w:lang w:val="bs-Cyrl-BA"/>
        </w:rPr>
      </w:pPr>
    </w:p>
    <w:p w:rsidR="008B61D7" w:rsidRPr="00A06713" w:rsidRDefault="008B61D7" w:rsidP="008B61D7">
      <w:pPr>
        <w:ind w:right="27"/>
        <w:rPr>
          <w:iCs/>
          <w:noProof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5.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upravlja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kontroliše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priliv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odliv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novčanih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usvojenom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Budžetu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Korišćenje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stalnim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pojedinačnih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ulaganja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vrijednosti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većoj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30.000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sprovođenja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procedura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može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dobijanju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saglasnosti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utroška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Korišćenje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subvencije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grantove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dobijanju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saglasnosti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utroška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rPr>
          <w:iCs/>
          <w:noProof/>
          <w:lang w:val="sr-Latn-CS"/>
        </w:rPr>
      </w:pPr>
    </w:p>
    <w:p w:rsidR="00211C70" w:rsidRPr="00211C70" w:rsidRDefault="00211C70" w:rsidP="00211C70">
      <w:pPr>
        <w:ind w:right="27"/>
        <w:rPr>
          <w:iCs/>
          <w:noProof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6.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utvrđena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rukovodeći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načelima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racionalnosti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štednje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90"/>
        <w:rPr>
          <w:iCs/>
          <w:noProof/>
          <w:lang w:val="sr-Latn-CS"/>
        </w:rPr>
      </w:pPr>
    </w:p>
    <w:p w:rsidR="00211C70" w:rsidRPr="00211C70" w:rsidRDefault="00211C70" w:rsidP="00BC5EF2">
      <w:pPr>
        <w:ind w:right="90"/>
        <w:rPr>
          <w:iCs/>
          <w:noProof/>
        </w:rPr>
      </w:pPr>
    </w:p>
    <w:p w:rsidR="00BC1E49" w:rsidRPr="008B61D7" w:rsidRDefault="008B61D7" w:rsidP="00BC1E49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7. </w:t>
      </w:r>
    </w:p>
    <w:p w:rsidR="00BC1E49" w:rsidRPr="008B61D7" w:rsidRDefault="00BC1E49" w:rsidP="00BC1E49">
      <w:pPr>
        <w:ind w:right="90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(1)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sačinjava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potrošnje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procjenom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ostvarenja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priliva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  <w:t xml:space="preserve">(2)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obavještava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visini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stavljaju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raspolaganje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planom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najkasnije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deset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početka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  <w:t xml:space="preserve">(3) </w:t>
      </w:r>
      <w:r w:rsidR="008B61D7">
        <w:rPr>
          <w:iCs/>
          <w:noProof/>
          <w:lang w:val="sr-Latn-CS"/>
        </w:rPr>
        <w:t>Izuzetno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2.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kvartalni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prvi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fiskalne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dostavlja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15. </w:t>
      </w:r>
      <w:r w:rsidR="008B61D7">
        <w:rPr>
          <w:iCs/>
          <w:noProof/>
          <w:lang w:val="sr-Latn-CS"/>
        </w:rPr>
        <w:t>januara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tekuće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četvrti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fiskalne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raspolaganje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mjesečnim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iznosima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  <w:t xml:space="preserve">(4) </w:t>
      </w:r>
      <w:r w:rsidR="008B61D7">
        <w:rPr>
          <w:iCs/>
          <w:noProof/>
          <w:lang w:val="sr-Latn-CS"/>
        </w:rPr>
        <w:t>Ukoliko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ukaže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potreba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sezonskim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2.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traže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izmjenu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dostavljenog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najkasnije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početka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  <w:t xml:space="preserve">(5) </w:t>
      </w:r>
      <w:r w:rsidR="008B61D7">
        <w:rPr>
          <w:iCs/>
          <w:noProof/>
          <w:lang w:val="sr-Latn-CS"/>
        </w:rPr>
        <w:t>Ukupan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svih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kvartalnih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potrošnje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svakog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manji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jednak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usvojenog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godišnjeg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svakog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  <w:t xml:space="preserve">(6)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izmirenje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4.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obrazaca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trezorsko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poslovanje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:rsidR="00A06713" w:rsidRDefault="00A06713" w:rsidP="00BC1E49">
      <w:pPr>
        <w:ind w:right="90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90"/>
        <w:jc w:val="center"/>
        <w:rPr>
          <w:iCs/>
          <w:noProof/>
          <w:lang w:val="sr-Latn-CS"/>
        </w:rPr>
      </w:pPr>
    </w:p>
    <w:p w:rsidR="00A06713" w:rsidRDefault="00A06713" w:rsidP="00BC1E49">
      <w:pPr>
        <w:ind w:right="90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90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BC1E49" w:rsidRPr="008B61D7">
        <w:rPr>
          <w:iCs/>
          <w:noProof/>
          <w:lang w:val="sr-Latn-CS"/>
        </w:rPr>
        <w:t xml:space="preserve"> 8.</w:t>
      </w:r>
    </w:p>
    <w:p w:rsidR="00BC1E49" w:rsidRPr="008B61D7" w:rsidRDefault="00BC1E49" w:rsidP="00BC1E49">
      <w:pPr>
        <w:ind w:right="90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između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tekući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transferi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između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unutar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jedinica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vlasti</w:t>
      </w:r>
      <w:r w:rsidRPr="008B61D7">
        <w:rPr>
          <w:iCs/>
          <w:noProof/>
          <w:lang w:val="sr-Latn-CS"/>
        </w:rPr>
        <w:t xml:space="preserve">)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otplatu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rješenja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(2)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rješenja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otplatu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</w:p>
    <w:p w:rsid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bs-Cyrl-BA"/>
        </w:rPr>
      </w:pPr>
      <w:r w:rsidRPr="008B61D7">
        <w:rPr>
          <w:iCs/>
          <w:noProof/>
          <w:lang w:val="sr-Latn-CS"/>
        </w:rPr>
        <w:tab/>
      </w:r>
    </w:p>
    <w:p w:rsidR="00BC1E49" w:rsidRPr="008B61D7" w:rsidRDefault="008B61D7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>
        <w:rPr>
          <w:iCs/>
          <w:noProof/>
          <w:lang w:val="bs-Cyrl-BA"/>
        </w:rPr>
        <w:tab/>
      </w:r>
      <w:r w:rsidR="00BC1E49" w:rsidRPr="008B61D7">
        <w:rPr>
          <w:iCs/>
          <w:noProof/>
          <w:lang w:val="sr-Latn-CS"/>
        </w:rPr>
        <w:t xml:space="preserve">(3) </w:t>
      </w:r>
      <w:r>
        <w:rPr>
          <w:iCs/>
          <w:noProof/>
          <w:lang w:val="sr-Latn-CS"/>
        </w:rPr>
        <w:t>Izuzetno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="00BC1E49" w:rsidRPr="008B61D7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BC1E49" w:rsidRPr="008B61D7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ne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="00BC1E49"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bruto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bez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saglasnosti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sufinansiranje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finansiranih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međunarodnih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institucija</w:t>
      </w:r>
      <w:r w:rsidRPr="008B61D7">
        <w:rPr>
          <w:iCs/>
          <w:noProof/>
          <w:lang w:val="sr-Latn-CS"/>
        </w:rPr>
        <w:t>.</w:t>
      </w:r>
    </w:p>
    <w:p w:rsidR="008B61D7" w:rsidRDefault="008B61D7" w:rsidP="00BC1E49">
      <w:pPr>
        <w:ind w:right="27"/>
        <w:jc w:val="center"/>
        <w:rPr>
          <w:iCs/>
          <w:noProof/>
          <w:lang w:val="bs-Cyrl-BA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9.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stav</w:t>
      </w:r>
      <w:r w:rsidRPr="008B61D7">
        <w:rPr>
          <w:iCs/>
          <w:noProof/>
          <w:lang w:val="sr-Latn-CS"/>
        </w:rPr>
        <w:t xml:space="preserve"> 2. </w:t>
      </w:r>
      <w:r w:rsidR="008B61D7">
        <w:rPr>
          <w:iCs/>
          <w:noProof/>
          <w:lang w:val="sr-Latn-CS"/>
        </w:rPr>
        <w:t>t</w:t>
      </w:r>
      <w:r w:rsidRPr="008B61D7">
        <w:rPr>
          <w:iCs/>
          <w:noProof/>
          <w:lang w:val="sr-Latn-CS"/>
        </w:rPr>
        <w:t xml:space="preserve">. 1), 2)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3),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stav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tačka</w:t>
      </w:r>
      <w:r w:rsidRPr="008B61D7">
        <w:rPr>
          <w:iCs/>
          <w:noProof/>
          <w:lang w:val="sr-Latn-CS"/>
        </w:rPr>
        <w:t xml:space="preserve"> 2)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stav</w:t>
      </w:r>
      <w:r w:rsidRPr="008B61D7">
        <w:rPr>
          <w:iCs/>
          <w:noProof/>
          <w:lang w:val="sr-Latn-CS"/>
        </w:rPr>
        <w:t xml:space="preserve"> 13.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1) </w:t>
      </w:r>
      <w:r w:rsidR="008B61D7">
        <w:rPr>
          <w:iCs/>
          <w:noProof/>
          <w:lang w:val="sr-Latn-CS"/>
        </w:rPr>
        <w:t>rashodi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2)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3)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otplatu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primitaka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stav</w:t>
      </w:r>
      <w:r w:rsidRPr="008B61D7">
        <w:rPr>
          <w:iCs/>
          <w:noProof/>
          <w:lang w:val="sr-Latn-CS"/>
        </w:rPr>
        <w:t xml:space="preserve"> 2. </w:t>
      </w:r>
      <w:r w:rsidR="008B61D7">
        <w:rPr>
          <w:iCs/>
          <w:noProof/>
          <w:lang w:val="sr-Latn-CS"/>
        </w:rPr>
        <w:t>tačka</w:t>
      </w:r>
      <w:r w:rsidRPr="008B61D7">
        <w:rPr>
          <w:iCs/>
          <w:noProof/>
          <w:lang w:val="sr-Latn-CS"/>
        </w:rPr>
        <w:t xml:space="preserve"> 4),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stav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tačka</w:t>
      </w:r>
      <w:r w:rsidRPr="008B61D7">
        <w:rPr>
          <w:iCs/>
          <w:noProof/>
          <w:lang w:val="sr-Latn-CS"/>
        </w:rPr>
        <w:t xml:space="preserve"> 1)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</w:t>
      </w:r>
      <w:r w:rsidRPr="008B61D7">
        <w:rPr>
          <w:iCs/>
          <w:noProof/>
          <w:lang w:val="sr-Latn-CS"/>
        </w:rPr>
        <w:t xml:space="preserve">. 6, 7, 8, 11, 12, 14, 15, 16.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17.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1) </w:t>
      </w:r>
      <w:r w:rsidR="008B61D7">
        <w:rPr>
          <w:iCs/>
          <w:noProof/>
          <w:lang w:val="sr-Latn-CS"/>
        </w:rPr>
        <w:t>rashodi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osim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2)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3)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otplatu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primitaka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</w:t>
      </w:r>
      <w:r w:rsidRPr="008B61D7">
        <w:rPr>
          <w:iCs/>
          <w:noProof/>
          <w:lang w:val="sr-Latn-CS"/>
        </w:rPr>
        <w:t xml:space="preserve">. 9.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10.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. </w:t>
      </w:r>
    </w:p>
    <w:p w:rsidR="00211C70" w:rsidRPr="008B61D7" w:rsidRDefault="00211C70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10.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operativnog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</w:t>
      </w:r>
      <w:r w:rsidRPr="008B61D7">
        <w:rPr>
          <w:iCs/>
          <w:noProof/>
          <w:lang w:val="sr-Latn-CS"/>
        </w:rPr>
        <w:t xml:space="preserve">. 2, 3, 6, 7, 8, 9, 10, 11, 12, 13, 14, 15, 16, 17.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18.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planova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potrošnje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sačinjavaju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Mjesečni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planovi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potrošnje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sačinjavaju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raspoloživih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Izuzetno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2.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ostvarena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prijedlog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raspoređivati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iznad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planiranih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budžetom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odluke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ali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samo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visine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uplaćenih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prenesenih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>.</w:t>
      </w:r>
    </w:p>
    <w:p w:rsidR="00211C70" w:rsidRDefault="00211C70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:rsidR="00BC5EF2" w:rsidRDefault="00BC5EF2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:rsidR="00BC5EF2" w:rsidRDefault="00BC5EF2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lastRenderedPageBreak/>
        <w:t xml:space="preserve">(4)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preraspodjelu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3. </w:t>
      </w:r>
      <w:r w:rsidR="008B61D7">
        <w:rPr>
          <w:iCs/>
          <w:noProof/>
          <w:lang w:val="sr-Latn-CS"/>
        </w:rPr>
        <w:t>st</w:t>
      </w:r>
      <w:r w:rsidRPr="008B61D7">
        <w:rPr>
          <w:iCs/>
          <w:noProof/>
          <w:lang w:val="sr-Latn-CS"/>
        </w:rPr>
        <w:t xml:space="preserve">. 2, 3, 6, 7, 8, 10, 11, 12, 13, 14, 15, 16, 17.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18.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(5) </w:t>
      </w:r>
      <w:r w:rsidR="008B61D7">
        <w:rPr>
          <w:iCs/>
          <w:noProof/>
          <w:lang w:val="sr-Latn-CS"/>
        </w:rPr>
        <w:t>Preraspodjela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4.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rješenja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11.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okviru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izmirenje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4.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9.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(2)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obrazaca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trezorsko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poslovanje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odgovoran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(3)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konekciju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</w:t>
      </w:r>
      <w:r w:rsidRPr="008B61D7">
        <w:rPr>
          <w:iCs/>
          <w:noProof/>
          <w:lang w:val="sr-Latn-CS"/>
        </w:rPr>
        <w:t xml:space="preserve">a </w:t>
      </w:r>
      <w:r w:rsidR="008B61D7">
        <w:rPr>
          <w:iCs/>
          <w:noProof/>
          <w:lang w:val="sr-Latn-CS"/>
        </w:rPr>
        <w:t>vrše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nemaju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konekciju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posredstvom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čijoj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(4) </w:t>
      </w:r>
      <w:r w:rsidR="008B61D7">
        <w:rPr>
          <w:iCs/>
          <w:noProof/>
          <w:lang w:val="sr-Latn-CS"/>
        </w:rPr>
        <w:t>Podaci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uneseni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obrasce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trezorsko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poslovanje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sačinjeni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vjerodostojnih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knjigovodstvenih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isprava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propisanih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računovodstvu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reviziji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(5) </w:t>
      </w:r>
      <w:r w:rsidR="008B61D7">
        <w:rPr>
          <w:iCs/>
          <w:noProof/>
          <w:lang w:val="sr-Latn-CS"/>
        </w:rPr>
        <w:t>Ispravama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4.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smatraju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obračunske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liste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naknada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predračuni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ugovori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računi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materijala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robe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usluga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4) </w:t>
      </w:r>
      <w:r w:rsidR="008B61D7">
        <w:rPr>
          <w:iCs/>
          <w:noProof/>
          <w:lang w:val="sr-Latn-CS"/>
        </w:rPr>
        <w:t>odluke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rješenja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proističu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5) </w:t>
      </w:r>
      <w:r w:rsidR="008B61D7">
        <w:rPr>
          <w:iCs/>
          <w:noProof/>
          <w:lang w:val="sr-Latn-CS"/>
        </w:rPr>
        <w:t>ostale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knjigovodstvene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isprave</w:t>
      </w:r>
      <w:r w:rsidRPr="008B61D7">
        <w:rPr>
          <w:iCs/>
          <w:noProof/>
          <w:lang w:val="sr-Latn-CS"/>
        </w:rPr>
        <w:t>.</w:t>
      </w:r>
    </w:p>
    <w:p w:rsidR="00BC1E49" w:rsidRDefault="00BC1E49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:rsidR="00211C70" w:rsidRPr="008B61D7" w:rsidRDefault="00211C70" w:rsidP="00BC1E49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E49" w:rsidRPr="008B61D7">
        <w:rPr>
          <w:noProof/>
          <w:lang w:val="sr-Latn-CS"/>
        </w:rPr>
        <w:t xml:space="preserve"> 12.</w:t>
      </w:r>
    </w:p>
    <w:p w:rsidR="00BC1E49" w:rsidRPr="008B61D7" w:rsidRDefault="00BC1E49" w:rsidP="00BC1E49">
      <w:pPr>
        <w:ind w:right="27"/>
        <w:jc w:val="center"/>
        <w:rPr>
          <w:noProof/>
          <w:lang w:val="sr-Latn-CS"/>
        </w:rPr>
      </w:pPr>
    </w:p>
    <w:p w:rsidR="00BC1E49" w:rsidRPr="008B61D7" w:rsidRDefault="00BC1E49" w:rsidP="00BC1E49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tačnost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knjigovodstvenih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isprava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interne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kontrolne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podliježu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isprave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vjerodostojan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pomoćne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Glavnu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odgovorno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lice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konekciju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B61D7">
        <w:rPr>
          <w:noProof/>
          <w:lang w:val="sr-Latn-CS"/>
        </w:rPr>
        <w:t xml:space="preserve">(2)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vjerodostojan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unos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podataka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sistem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trezora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pomoćne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knjige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Glavnu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knjigu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trezora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odgovorno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lice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ministarstvu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čijoj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je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nadležnosti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unos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podataka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nemaju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direktnu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konekciju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sistem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Jedinstvenog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računa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trezora</w:t>
      </w:r>
      <w:r w:rsidRPr="008B61D7">
        <w:rPr>
          <w:noProof/>
          <w:lang w:val="sr-Latn-CS"/>
        </w:rPr>
        <w:t xml:space="preserve">. </w:t>
      </w:r>
    </w:p>
    <w:p w:rsidR="00211C70" w:rsidRPr="008B61D7" w:rsidRDefault="00211C70" w:rsidP="00BC1E49">
      <w:pPr>
        <w:ind w:right="27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13.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ab/>
        <w:t xml:space="preserve">(1)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prijedlog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finansija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raspoređena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preraspoređivati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okviru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(2) </w:t>
      </w:r>
      <w:r w:rsidR="008B61D7">
        <w:rPr>
          <w:noProof/>
          <w:lang w:val="sr-Latn-CS"/>
        </w:rPr>
        <w:t>Ukoliko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izvršiti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preraspodjela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skladu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stavom</w:t>
      </w:r>
      <w:r w:rsidRPr="008B61D7">
        <w:rPr>
          <w:noProof/>
          <w:lang w:val="sr-Latn-CS"/>
        </w:rPr>
        <w:t xml:space="preserve"> 1.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prijedlog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finansija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raspoređena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Budžetom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preraspoređivati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između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ministarstava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ili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drugih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do</w:t>
      </w:r>
      <w:r w:rsidRPr="008B61D7">
        <w:rPr>
          <w:noProof/>
          <w:lang w:val="sr-Latn-CS"/>
        </w:rPr>
        <w:t xml:space="preserve"> 5%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ukupno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usvojenih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umanjuju</w:t>
      </w:r>
      <w:r w:rsidRPr="008B61D7">
        <w:rPr>
          <w:noProof/>
          <w:lang w:val="sr-Latn-CS"/>
        </w:rPr>
        <w:t xml:space="preserve">. </w:t>
      </w:r>
    </w:p>
    <w:p w:rsidR="00211C70" w:rsidRDefault="00211C70" w:rsidP="00BC1E49">
      <w:pPr>
        <w:ind w:right="27" w:firstLine="720"/>
        <w:jc w:val="both"/>
        <w:rPr>
          <w:noProof/>
          <w:lang w:val="sr-Latn-CS"/>
        </w:rPr>
      </w:pPr>
    </w:p>
    <w:p w:rsidR="00211C70" w:rsidRDefault="00211C70" w:rsidP="00BC1E49">
      <w:pPr>
        <w:ind w:right="27" w:firstLine="720"/>
        <w:jc w:val="both"/>
        <w:rPr>
          <w:noProof/>
          <w:lang w:val="sr-Latn-CS"/>
        </w:rPr>
      </w:pPr>
    </w:p>
    <w:p w:rsidR="00BC5EF2" w:rsidRDefault="00BC5EF2" w:rsidP="00BC1E49">
      <w:pPr>
        <w:ind w:right="27" w:firstLine="720"/>
        <w:jc w:val="both"/>
        <w:rPr>
          <w:noProof/>
          <w:lang w:val="sr-Latn-CS"/>
        </w:rPr>
      </w:pP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lastRenderedPageBreak/>
        <w:t xml:space="preserve">(3) </w:t>
      </w:r>
      <w:r w:rsidR="008B61D7">
        <w:rPr>
          <w:noProof/>
          <w:lang w:val="sr-Latn-CS"/>
        </w:rPr>
        <w:t>Vlada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može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prijedlog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finansija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raspoređena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Budžetom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koja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nisu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utrošena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do</w:t>
      </w:r>
      <w:r w:rsidRPr="008B61D7">
        <w:rPr>
          <w:noProof/>
          <w:lang w:val="sr-Latn-CS"/>
        </w:rPr>
        <w:t xml:space="preserve"> 31. </w:t>
      </w:r>
      <w:r w:rsidR="008B61D7">
        <w:rPr>
          <w:noProof/>
          <w:lang w:val="sr-Latn-CS"/>
        </w:rPr>
        <w:t>januara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naredne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godine</w:t>
      </w:r>
      <w:r w:rsidRPr="008B61D7">
        <w:rPr>
          <w:noProof/>
          <w:lang w:val="sr-Latn-CS"/>
        </w:rPr>
        <w:t xml:space="preserve">, </w:t>
      </w:r>
      <w:r w:rsidR="008B61D7">
        <w:rPr>
          <w:noProof/>
          <w:lang w:val="sr-Latn-CS"/>
        </w:rPr>
        <w:t>rasporediti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između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ministarstava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ili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drugih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do</w:t>
      </w:r>
      <w:r w:rsidRPr="008B61D7">
        <w:rPr>
          <w:noProof/>
          <w:lang w:val="sr-Latn-CS"/>
        </w:rPr>
        <w:t xml:space="preserve"> 5% </w:t>
      </w:r>
      <w:r w:rsidR="008B61D7">
        <w:rPr>
          <w:noProof/>
          <w:lang w:val="sr-Latn-CS"/>
        </w:rPr>
        <w:t>od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ukupno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usvojenih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budžetskih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korisnika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kojima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umanjuju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(4) </w:t>
      </w:r>
      <w:r w:rsidR="008B61D7">
        <w:rPr>
          <w:noProof/>
          <w:lang w:val="sr-Latn-CS"/>
        </w:rPr>
        <w:t>Odredbe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primjenjuju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budžetska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Glavne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službe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reviziju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javnog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sektora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Republike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Srpske</w:t>
      </w:r>
      <w:r w:rsidRPr="008B61D7">
        <w:rPr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noProof/>
          <w:lang w:val="sr-Latn-CS"/>
        </w:rPr>
        <w:t xml:space="preserve">(5) </w:t>
      </w:r>
      <w:r w:rsidR="008B61D7">
        <w:rPr>
          <w:noProof/>
          <w:lang w:val="sr-Latn-CS"/>
        </w:rPr>
        <w:t>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izvještaju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izvršenju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Budžeta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nalazi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se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pregled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o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izvršenoj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preraspodjeli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sredstava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iz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 8. </w:t>
      </w:r>
      <w:r w:rsidR="008B61D7">
        <w:rPr>
          <w:noProof/>
          <w:lang w:val="sr-Latn-CS"/>
        </w:rPr>
        <w:t>stav</w:t>
      </w:r>
      <w:r w:rsidRPr="008B61D7">
        <w:rPr>
          <w:noProof/>
          <w:lang w:val="sr-Latn-CS"/>
        </w:rPr>
        <w:t xml:space="preserve"> 1.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zakona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st</w:t>
      </w:r>
      <w:r w:rsidRPr="008B61D7">
        <w:rPr>
          <w:noProof/>
          <w:lang w:val="sr-Latn-CS"/>
        </w:rPr>
        <w:t xml:space="preserve">. 1, 2. </w:t>
      </w:r>
      <w:r w:rsidR="008B61D7">
        <w:rPr>
          <w:noProof/>
          <w:lang w:val="sr-Latn-CS"/>
        </w:rPr>
        <w:t>i</w:t>
      </w:r>
      <w:r w:rsidRPr="008B61D7">
        <w:rPr>
          <w:noProof/>
          <w:lang w:val="sr-Latn-CS"/>
        </w:rPr>
        <w:t xml:space="preserve"> 3. </w:t>
      </w:r>
      <w:r w:rsidR="008B61D7">
        <w:rPr>
          <w:noProof/>
          <w:lang w:val="sr-Latn-CS"/>
        </w:rPr>
        <w:t>ovog</w:t>
      </w:r>
      <w:r w:rsidRPr="008B61D7">
        <w:rPr>
          <w:noProof/>
          <w:lang w:val="sr-Latn-CS"/>
        </w:rPr>
        <w:t xml:space="preserve"> </w:t>
      </w:r>
      <w:r w:rsidR="008B61D7">
        <w:rPr>
          <w:noProof/>
          <w:lang w:val="sr-Latn-CS"/>
        </w:rPr>
        <w:t>člana</w:t>
      </w:r>
      <w:r w:rsidRPr="008B61D7">
        <w:rPr>
          <w:noProof/>
          <w:lang w:val="sr-Latn-CS"/>
        </w:rPr>
        <w:t xml:space="preserve">. </w:t>
      </w:r>
    </w:p>
    <w:p w:rsidR="00BC1E49" w:rsidRDefault="00BC1E49" w:rsidP="00BC1E49">
      <w:pPr>
        <w:ind w:right="27"/>
        <w:jc w:val="center"/>
        <w:rPr>
          <w:iCs/>
          <w:noProof/>
          <w:lang w:val="bs-Cyrl-BA"/>
        </w:rPr>
      </w:pPr>
    </w:p>
    <w:p w:rsidR="008B61D7" w:rsidRDefault="008B61D7" w:rsidP="00BC1E49">
      <w:pPr>
        <w:ind w:right="27"/>
        <w:jc w:val="center"/>
        <w:rPr>
          <w:iCs/>
          <w:noProof/>
        </w:rPr>
      </w:pPr>
    </w:p>
    <w:p w:rsidR="00BC5EF2" w:rsidRPr="00BC5EF2" w:rsidRDefault="00BC5EF2" w:rsidP="00BC1E49">
      <w:pPr>
        <w:ind w:right="27"/>
        <w:jc w:val="center"/>
        <w:rPr>
          <w:iCs/>
          <w:noProof/>
        </w:rPr>
      </w:pPr>
    </w:p>
    <w:p w:rsidR="00BC1E49" w:rsidRPr="008B61D7" w:rsidRDefault="008B61D7" w:rsidP="00BC1E49">
      <w:pPr>
        <w:ind w:right="27"/>
        <w:jc w:val="center"/>
        <w:rPr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14.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noProof/>
          <w:lang w:val="sr-Latn-CS"/>
        </w:rPr>
        <w:tab/>
      </w:r>
      <w:r w:rsidRPr="008B61D7">
        <w:rPr>
          <w:iCs/>
          <w:noProof/>
          <w:lang w:val="sr-Latn-CS"/>
        </w:rPr>
        <w:t xml:space="preserve">(1) </w:t>
      </w:r>
      <w:r w:rsidR="008B61D7">
        <w:rPr>
          <w:iCs/>
          <w:noProof/>
          <w:lang w:val="sr-Latn-CS"/>
        </w:rPr>
        <w:t>Raspodjela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rezerve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Izuzetno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1.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raspodjelu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rezerve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toku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fiskalne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hitne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nepredviđene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nisu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uvršteni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mogu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: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predsjednik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1.000.000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,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ministar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50.000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>.</w:t>
      </w:r>
    </w:p>
    <w:p w:rsidR="008B61D7" w:rsidRDefault="00BC1E49" w:rsidP="00BC1E49">
      <w:pPr>
        <w:ind w:right="27"/>
        <w:jc w:val="both"/>
        <w:rPr>
          <w:iCs/>
          <w:noProof/>
          <w:lang w:val="bs-Cyrl-BA"/>
        </w:rPr>
      </w:pPr>
      <w:r w:rsidRPr="008B61D7">
        <w:rPr>
          <w:iCs/>
          <w:noProof/>
          <w:lang w:val="sr-Latn-CS"/>
        </w:rPr>
        <w:tab/>
      </w:r>
    </w:p>
    <w:p w:rsidR="008B61D7" w:rsidRDefault="008B61D7" w:rsidP="00BC1E49">
      <w:pPr>
        <w:ind w:right="27"/>
        <w:jc w:val="both"/>
        <w:rPr>
          <w:iCs/>
          <w:noProof/>
          <w:lang w:val="bs-Cyrl-BA"/>
        </w:rPr>
      </w:pPr>
    </w:p>
    <w:p w:rsidR="00BC1E49" w:rsidRPr="008B61D7" w:rsidRDefault="00BC1E49" w:rsidP="008B61D7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Odobravanje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grantove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samo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kriterijuma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utvrđenih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davalaca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podnošenje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odgovarajućeg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programa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projekta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(4)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rezerve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grantove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podnesu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izvještaj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davaocima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utrošku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primljenih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najkasnije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isteka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roka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podnošenje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godišnjih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izvještaja</w:t>
      </w:r>
      <w:r w:rsidRPr="008B61D7">
        <w:rPr>
          <w:iCs/>
          <w:noProof/>
          <w:lang w:val="sr-Latn-CS"/>
        </w:rPr>
        <w:t>.</w:t>
      </w:r>
    </w:p>
    <w:p w:rsidR="00BC1E49" w:rsidRDefault="00BC1E49" w:rsidP="00BC1E49">
      <w:pPr>
        <w:ind w:right="27"/>
        <w:jc w:val="both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both"/>
        <w:rPr>
          <w:iCs/>
          <w:noProof/>
          <w:lang w:val="sr-Latn-CS"/>
        </w:rPr>
      </w:pPr>
    </w:p>
    <w:p w:rsidR="00BC5EF2" w:rsidRPr="008B61D7" w:rsidRDefault="00BC5EF2" w:rsidP="00BC1E49">
      <w:pPr>
        <w:ind w:right="27"/>
        <w:jc w:val="both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15.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(1)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relevantnog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spoljnog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izvršavaju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dospjeli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plaćanje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uređuje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indirektno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oporezivanje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spoljnog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izvršavaju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dospjeli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plaćanje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uređuje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plaćanje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spoljnog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unutrašnjeg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izvršavaju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dospjeli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plaćanje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uređuje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plaćanje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unutrašnjeg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duga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tabs>
          <w:tab w:val="left" w:pos="450"/>
        </w:tabs>
        <w:ind w:right="27"/>
        <w:jc w:val="both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BC1E49" w:rsidRPr="008B61D7">
        <w:rPr>
          <w:iCs/>
          <w:noProof/>
          <w:lang w:val="sr-Latn-CS"/>
        </w:rPr>
        <w:t xml:space="preserve"> 16.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noProof/>
          <w:lang w:val="sr-Latn-CS"/>
        </w:rPr>
        <w:tab/>
      </w:r>
      <w:r w:rsidRPr="008B61D7">
        <w:rPr>
          <w:iCs/>
          <w:noProof/>
          <w:lang w:val="sr-Latn-CS"/>
        </w:rPr>
        <w:t xml:space="preserve">(1)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izmiruju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sljedećim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prioritetima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penzije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penzijskog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invalidskog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osiguranja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porodične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lične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civilne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invalidnine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porezi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doprinosi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4) </w:t>
      </w:r>
      <w:r w:rsidR="008B61D7">
        <w:rPr>
          <w:iCs/>
          <w:noProof/>
          <w:lang w:val="sr-Latn-CS"/>
        </w:rPr>
        <w:t>neto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5) </w:t>
      </w:r>
      <w:r w:rsidR="008B61D7">
        <w:rPr>
          <w:iCs/>
          <w:noProof/>
          <w:lang w:val="sr-Latn-CS"/>
        </w:rPr>
        <w:t>ostala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boračko</w:t>
      </w:r>
      <w:r w:rsidRPr="008B61D7">
        <w:rPr>
          <w:iCs/>
          <w:noProof/>
          <w:lang w:val="sr-Latn-CS"/>
        </w:rPr>
        <w:t>-</w:t>
      </w:r>
      <w:r w:rsidR="008B61D7">
        <w:rPr>
          <w:iCs/>
          <w:noProof/>
          <w:lang w:val="sr-Latn-CS"/>
        </w:rPr>
        <w:t>invalidske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zaštite</w:t>
      </w:r>
      <w:r w:rsidRPr="008B61D7">
        <w:rPr>
          <w:iCs/>
          <w:noProof/>
          <w:lang w:val="sr-Latn-CS"/>
        </w:rPr>
        <w:t xml:space="preserve">,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6)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dobavljačima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7) </w:t>
      </w:r>
      <w:r w:rsidR="008B61D7">
        <w:rPr>
          <w:iCs/>
          <w:noProof/>
          <w:lang w:val="sr-Latn-CS"/>
        </w:rPr>
        <w:t>povrat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akata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organa</w:t>
      </w:r>
      <w:r w:rsidRPr="008B61D7">
        <w:rPr>
          <w:iCs/>
          <w:noProof/>
          <w:lang w:val="sr-Latn-CS"/>
        </w:rPr>
        <w:t>,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8) </w:t>
      </w:r>
      <w:r w:rsidR="008B61D7">
        <w:rPr>
          <w:iCs/>
          <w:noProof/>
          <w:lang w:val="sr-Latn-CS"/>
        </w:rPr>
        <w:t>ostale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obaveze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211C70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(2)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utvrđuje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terminski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mjesečni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potrošnje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izmirenje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1.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>.</w:t>
      </w: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17.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Isplata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prenosom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banaka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ovlašćenih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promet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(2)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kojima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</w:t>
      </w:r>
      <w:r w:rsidRPr="008B61D7">
        <w:rPr>
          <w:iCs/>
          <w:noProof/>
          <w:lang w:val="sr-Latn-CS"/>
        </w:rPr>
        <w:t xml:space="preserve">. 3.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9.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dato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pravo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vlastitih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02), </w:t>
      </w:r>
      <w:r w:rsidR="008B61D7">
        <w:rPr>
          <w:iCs/>
          <w:noProof/>
          <w:lang w:val="sr-Latn-CS"/>
        </w:rPr>
        <w:t>donacija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grantova</w:t>
      </w:r>
      <w:r w:rsidRPr="008B61D7">
        <w:rPr>
          <w:iCs/>
          <w:noProof/>
          <w:lang w:val="sr-Latn-CS"/>
        </w:rPr>
        <w:t>),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03)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finansiranja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projekata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fond</w:t>
      </w:r>
      <w:r w:rsidRPr="008B61D7">
        <w:rPr>
          <w:iCs/>
          <w:noProof/>
          <w:lang w:val="sr-Latn-CS"/>
        </w:rPr>
        <w:t xml:space="preserve"> 05), </w:t>
      </w:r>
      <w:r w:rsidR="008B61D7">
        <w:rPr>
          <w:iCs/>
          <w:noProof/>
          <w:lang w:val="sr-Latn-CS"/>
        </w:rPr>
        <w:t>isplata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prenosom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namjena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banaka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ovlašćenih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promet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(3)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konekciju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obračun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unesu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15.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mjesecu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prethodni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mjesec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(4)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nemaju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direktnu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konekciju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obračun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dostave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odgovarajućoj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organizacionoj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čijoj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nadležnosti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desetog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mjesecu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prethodni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mjesec</w:t>
      </w:r>
      <w:r w:rsidRPr="008B61D7">
        <w:rPr>
          <w:iCs/>
          <w:noProof/>
          <w:lang w:val="sr-Latn-CS"/>
        </w:rPr>
        <w:t xml:space="preserve">. 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(5) </w:t>
      </w:r>
      <w:r w:rsidR="008B61D7">
        <w:rPr>
          <w:iCs/>
          <w:noProof/>
          <w:lang w:val="sr-Latn-CS"/>
        </w:rPr>
        <w:t>Isplata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penzija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penzijskog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invalidskog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osiguranja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porodičnih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civilnih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invalidnina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prenosom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Jedinstvenog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banaka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ovlašćenih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promet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poštanski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saobraćaj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18.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 </w:t>
      </w:r>
      <w:r w:rsidR="008B61D7">
        <w:rPr>
          <w:iCs/>
          <w:noProof/>
          <w:lang w:val="sr-Latn-CS"/>
        </w:rPr>
        <w:t>Izmirivanje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9.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internim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procedurama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BC1E49" w:rsidRPr="008B61D7">
        <w:rPr>
          <w:iCs/>
          <w:noProof/>
          <w:lang w:val="sr-Latn-CS"/>
        </w:rPr>
        <w:t xml:space="preserve"> 19.</w:t>
      </w: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Naknade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raznim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osnovama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naplaćene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posebnim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zakonima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usmjeravaju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troše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Odlukom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usvajanju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2022. </w:t>
      </w:r>
      <w:r w:rsidR="008B61D7">
        <w:rPr>
          <w:iCs/>
          <w:noProof/>
          <w:lang w:val="sr-Latn-CS"/>
        </w:rPr>
        <w:t>godinu</w:t>
      </w:r>
      <w:r w:rsidRPr="008B61D7">
        <w:rPr>
          <w:noProof/>
          <w:lang w:val="sr-Latn-CS"/>
        </w:rPr>
        <w:t>.</w:t>
      </w: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20.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robe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materijala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usluga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pridržavaju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odredaba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Bosne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Hercegovine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kao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procedura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obaveznoj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primjeni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modula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nabavki</w:t>
      </w:r>
      <w:r w:rsidRPr="008B61D7">
        <w:rPr>
          <w:iCs/>
          <w:noProof/>
          <w:lang w:val="sr-Latn-CS"/>
        </w:rPr>
        <w:t>.</w:t>
      </w: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21.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Kontrolu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namjenskog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korišćenja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utroška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kao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>.</w:t>
      </w:r>
    </w:p>
    <w:p w:rsidR="00BC1E49" w:rsidRDefault="00BC1E49" w:rsidP="00BC1E49">
      <w:pPr>
        <w:ind w:right="27"/>
        <w:rPr>
          <w:iCs/>
          <w:noProof/>
          <w:lang w:val="sr-Latn-CS"/>
        </w:rPr>
      </w:pPr>
    </w:p>
    <w:p w:rsidR="00211C70" w:rsidRPr="008B61D7" w:rsidRDefault="00211C70" w:rsidP="00BC1E49">
      <w:pPr>
        <w:ind w:right="27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22.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Svi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roku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15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osnivanja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nastanka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promjene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statusu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dostave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izmjene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Obrascu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Registra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ažuriranja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podataka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Registru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Budžetski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korisnici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Obrazac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stava</w:t>
      </w:r>
      <w:r w:rsidRPr="008B61D7">
        <w:rPr>
          <w:iCs/>
          <w:noProof/>
          <w:lang w:val="sr-Latn-CS"/>
        </w:rPr>
        <w:t xml:space="preserve"> 1.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dužni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dostave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dokumentaciju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potvrđuje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nastale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promjene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Pravilnikom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kriterijumima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sticanje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statusa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(3) </w:t>
      </w:r>
      <w:r w:rsidR="008B61D7">
        <w:rPr>
          <w:iCs/>
          <w:noProof/>
          <w:lang w:val="sr-Latn-CS"/>
        </w:rPr>
        <w:t>Registar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vodi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ažurira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23.</w:t>
      </w:r>
    </w:p>
    <w:p w:rsidR="00BC1E49" w:rsidRPr="008B61D7" w:rsidRDefault="00BC1E49" w:rsidP="00BC1E49">
      <w:pPr>
        <w:tabs>
          <w:tab w:val="center" w:pos="4819"/>
          <w:tab w:val="left" w:pos="5737"/>
        </w:tabs>
        <w:ind w:right="27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(1)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slučaju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ovaj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sadrži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drugačija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rješenja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odnosu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predmetu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izvršenja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primjenjuju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odredbe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 w:firstLine="720"/>
        <w:jc w:val="both"/>
        <w:rPr>
          <w:noProof/>
          <w:lang w:val="sr-Latn-CS"/>
        </w:rPr>
      </w:pPr>
      <w:r w:rsidRPr="008B61D7">
        <w:rPr>
          <w:iCs/>
          <w:noProof/>
          <w:lang w:val="sr-Latn-CS"/>
        </w:rPr>
        <w:t xml:space="preserve">(2) </w:t>
      </w:r>
      <w:r w:rsidR="008B61D7">
        <w:rPr>
          <w:iCs/>
          <w:noProof/>
          <w:lang w:val="sr-Latn-CS"/>
        </w:rPr>
        <w:t>Ukoliko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drugim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propisani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novčani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izdaci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razlikuju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planiranih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Odluci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usvajanju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2022. </w:t>
      </w:r>
      <w:r w:rsidR="008B61D7">
        <w:rPr>
          <w:iCs/>
          <w:noProof/>
          <w:lang w:val="sr-Latn-CS"/>
        </w:rPr>
        <w:t>godinu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primjenjuju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odredbe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planirani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iznosi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utvrđeni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ovim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Odlukom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usvajanju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2022. </w:t>
      </w:r>
      <w:r w:rsidR="008B61D7">
        <w:rPr>
          <w:iCs/>
          <w:noProof/>
          <w:lang w:val="sr-Latn-CS"/>
        </w:rPr>
        <w:t>godinu</w:t>
      </w:r>
      <w:r w:rsidRPr="008B61D7">
        <w:rPr>
          <w:noProof/>
          <w:lang w:val="sr-Latn-CS"/>
        </w:rPr>
        <w:t>.</w:t>
      </w:r>
    </w:p>
    <w:p w:rsidR="008B61D7" w:rsidRDefault="008B61D7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bs-Cyrl-BA"/>
        </w:rPr>
      </w:pPr>
    </w:p>
    <w:p w:rsidR="00211C70" w:rsidRDefault="00211C70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5EF2" w:rsidRDefault="00BC5EF2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="00BC1E49" w:rsidRPr="008B61D7">
        <w:rPr>
          <w:iCs/>
          <w:noProof/>
          <w:lang w:val="sr-Latn-CS"/>
        </w:rPr>
        <w:t xml:space="preserve"> 24.</w:t>
      </w:r>
    </w:p>
    <w:p w:rsidR="00BC1E49" w:rsidRPr="008B61D7" w:rsidRDefault="00BC1E49" w:rsidP="00BC1E49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:rsidR="008B61D7" w:rsidRPr="00BC5EF2" w:rsidRDefault="00BC1E49" w:rsidP="00BC5EF2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Prenos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zajedničkih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institucija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Bosne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Hercegovine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može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isključivo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odobrenja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Narodne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skupštine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Republike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Srpske</w:t>
      </w:r>
      <w:r w:rsidRPr="008B61D7">
        <w:rPr>
          <w:iCs/>
          <w:noProof/>
          <w:lang w:val="sr-Latn-CS"/>
        </w:rPr>
        <w:t>.</w:t>
      </w:r>
    </w:p>
    <w:p w:rsidR="00211C70" w:rsidRDefault="00211C70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</w:rPr>
      </w:pPr>
    </w:p>
    <w:p w:rsidR="00BC1E49" w:rsidRPr="008B61D7" w:rsidRDefault="008B61D7" w:rsidP="00BC1E49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25.</w:t>
      </w:r>
    </w:p>
    <w:p w:rsidR="00BC1E49" w:rsidRPr="008B61D7" w:rsidRDefault="00BC1E49" w:rsidP="00BC1E49">
      <w:pPr>
        <w:tabs>
          <w:tab w:val="center" w:pos="4819"/>
          <w:tab w:val="left" w:pos="5633"/>
        </w:tabs>
        <w:ind w:right="27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Novčanom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kaznom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1.000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3.000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kazniće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prekršaj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odgovorno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lice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ako</w:t>
      </w:r>
      <w:r w:rsidRPr="008B61D7">
        <w:rPr>
          <w:iCs/>
          <w:noProof/>
          <w:lang w:val="sr-Latn-CS"/>
        </w:rPr>
        <w:t>: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1)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obračuna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knjiži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uplati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odgovarajući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propisanom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roku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3),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2) </w:t>
      </w:r>
      <w:r w:rsidR="008B61D7">
        <w:rPr>
          <w:iCs/>
          <w:noProof/>
          <w:lang w:val="sr-Latn-CS"/>
        </w:rPr>
        <w:t>vlastite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prihode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suprotno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bez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odobrenja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internog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programa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3),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3) </w:t>
      </w:r>
      <w:r w:rsidR="008B61D7">
        <w:rPr>
          <w:iCs/>
          <w:noProof/>
          <w:lang w:val="sr-Latn-CS"/>
        </w:rPr>
        <w:t>koristi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nefinansijske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stalnim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subvencije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grantove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bez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dobijanja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saglasnosti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Vlade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plan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utroška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sprovođenja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procedure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propisane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javnim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Bosne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Hercegovine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5),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4) </w:t>
      </w:r>
      <w:r w:rsidR="008B61D7">
        <w:rPr>
          <w:iCs/>
          <w:noProof/>
          <w:lang w:val="sr-Latn-CS"/>
        </w:rPr>
        <w:t>novčana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sredstva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rukovodeći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načelima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racionalnosti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štednje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6), 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5) </w:t>
      </w:r>
      <w:r w:rsidR="008B61D7">
        <w:rPr>
          <w:iCs/>
          <w:noProof/>
          <w:lang w:val="sr-Latn-CS"/>
        </w:rPr>
        <w:t>sačini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obrasce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trezorsko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poslovanje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budžetskih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korisnika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osnovu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nevjerodostojnih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knjigovodstvenih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isprava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ili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nepostojećih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poslovnih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promjena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11),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6)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unese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vjerodostojne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podatke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sistem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odnosno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pomoćne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Glavnu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knjigu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trezora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12),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7) </w:t>
      </w:r>
      <w:r w:rsidR="008B61D7">
        <w:rPr>
          <w:iCs/>
          <w:noProof/>
          <w:lang w:val="sr-Latn-CS"/>
        </w:rPr>
        <w:t>isplatu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plata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ostalih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ličnih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primanja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vrši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račune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zaposlenih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17),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8)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imovine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robe</w:t>
      </w:r>
      <w:r w:rsidRPr="008B61D7">
        <w:rPr>
          <w:iCs/>
          <w:noProof/>
          <w:lang w:val="sr-Latn-CS"/>
        </w:rPr>
        <w:t xml:space="preserve">, </w:t>
      </w:r>
      <w:r w:rsidR="008B61D7">
        <w:rPr>
          <w:iCs/>
          <w:noProof/>
          <w:lang w:val="sr-Latn-CS"/>
        </w:rPr>
        <w:t>materijala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usluga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skladu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procedurama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iz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modula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nabavki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20),</w:t>
      </w:r>
    </w:p>
    <w:p w:rsidR="00BC1E49" w:rsidRPr="008B61D7" w:rsidRDefault="00BC1E49" w:rsidP="00BC1E49">
      <w:pPr>
        <w:ind w:right="27" w:firstLine="56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  <w:t xml:space="preserve">9)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sprovede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postupak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registrovanja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roku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15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dana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nastanka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promjene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organizaciji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i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statusu</w:t>
      </w:r>
      <w:r w:rsidRPr="008B61D7">
        <w:rPr>
          <w:iCs/>
          <w:noProof/>
          <w:lang w:val="sr-Latn-CS"/>
        </w:rPr>
        <w:t xml:space="preserve"> (</w:t>
      </w:r>
      <w:r w:rsidR="008B61D7">
        <w:rPr>
          <w:iCs/>
          <w:noProof/>
          <w:lang w:val="sr-Latn-CS"/>
        </w:rPr>
        <w:t>član</w:t>
      </w:r>
      <w:r w:rsidRPr="008B61D7">
        <w:rPr>
          <w:iCs/>
          <w:noProof/>
          <w:lang w:val="sr-Latn-CS"/>
        </w:rPr>
        <w:t xml:space="preserve"> 22). </w:t>
      </w: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26.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BC1E49" w:rsidP="00BC1E49">
      <w:pPr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Novčanom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kaznom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</w:t>
      </w:r>
      <w:r w:rsidRPr="008B61D7">
        <w:rPr>
          <w:iCs/>
          <w:noProof/>
          <w:lang w:val="sr-Latn-CS"/>
        </w:rPr>
        <w:t xml:space="preserve"> 1.000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do</w:t>
      </w:r>
      <w:r w:rsidRPr="008B61D7">
        <w:rPr>
          <w:iCs/>
          <w:noProof/>
          <w:lang w:val="sr-Latn-CS"/>
        </w:rPr>
        <w:t xml:space="preserve"> 3.000 </w:t>
      </w:r>
      <w:r w:rsidR="008B61D7">
        <w:rPr>
          <w:iCs/>
          <w:noProof/>
          <w:lang w:val="sr-Latn-CS"/>
        </w:rPr>
        <w:t>KM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kazniće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prekršaj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odgovorno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lice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Ministarstvu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finansija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ako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se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ne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pridržava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odredbe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člana</w:t>
      </w:r>
      <w:r w:rsidRPr="008B61D7">
        <w:rPr>
          <w:iCs/>
          <w:noProof/>
          <w:lang w:val="sr-Latn-CS"/>
        </w:rPr>
        <w:t xml:space="preserve"> 18. </w:t>
      </w:r>
      <w:r w:rsidR="008B61D7">
        <w:rPr>
          <w:iCs/>
          <w:noProof/>
          <w:lang w:val="sr-Latn-CS"/>
        </w:rPr>
        <w:t>ovog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zakona</w:t>
      </w:r>
      <w:r w:rsidRPr="008B61D7">
        <w:rPr>
          <w:iCs/>
          <w:noProof/>
          <w:lang w:val="sr-Latn-CS"/>
        </w:rPr>
        <w:t>.</w:t>
      </w:r>
    </w:p>
    <w:p w:rsidR="00BC1E49" w:rsidRPr="008B61D7" w:rsidRDefault="00BC1E49" w:rsidP="00BC1E49">
      <w:pPr>
        <w:ind w:right="27"/>
        <w:jc w:val="center"/>
        <w:rPr>
          <w:iCs/>
          <w:noProof/>
          <w:lang w:val="sr-Latn-CS"/>
        </w:rPr>
      </w:pPr>
    </w:p>
    <w:p w:rsidR="00211C70" w:rsidRDefault="00211C70" w:rsidP="00BC1E49">
      <w:pPr>
        <w:ind w:right="27"/>
        <w:jc w:val="center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="00BC1E49" w:rsidRPr="008B61D7">
        <w:rPr>
          <w:iCs/>
          <w:noProof/>
          <w:lang w:val="sr-Latn-CS"/>
        </w:rPr>
        <w:t xml:space="preserve"> 27.</w:t>
      </w:r>
    </w:p>
    <w:p w:rsidR="00BC1E49" w:rsidRPr="008B61D7" w:rsidRDefault="00BC1E49" w:rsidP="00BC1E49">
      <w:pPr>
        <w:tabs>
          <w:tab w:val="left" w:pos="360"/>
          <w:tab w:val="left" w:pos="450"/>
          <w:tab w:val="left" w:pos="540"/>
        </w:tabs>
        <w:ind w:right="27"/>
        <w:jc w:val="both"/>
        <w:rPr>
          <w:iCs/>
          <w:noProof/>
          <w:lang w:val="sr-Latn-CS"/>
        </w:rPr>
      </w:pPr>
    </w:p>
    <w:p w:rsidR="00BC1E49" w:rsidRPr="008B61D7" w:rsidRDefault="008B61D7" w:rsidP="00BC1E49">
      <w:pPr>
        <w:ind w:right="27" w:firstLine="720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Ovaj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stupa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snagu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narednog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objavljivanja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BC1E49" w:rsidRPr="008B61D7">
        <w:rPr>
          <w:iCs/>
          <w:noProof/>
          <w:lang w:val="sr-Latn-CS"/>
        </w:rPr>
        <w:t xml:space="preserve"> „</w:t>
      </w:r>
      <w:r>
        <w:rPr>
          <w:iCs/>
          <w:noProof/>
          <w:lang w:val="sr-Latn-CS"/>
        </w:rPr>
        <w:t>Službenom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glasniku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="00BC1E49" w:rsidRPr="008B61D7">
        <w:rPr>
          <w:iCs/>
          <w:noProof/>
          <w:lang w:val="sr-Latn-CS"/>
        </w:rPr>
        <w:t>“.</w:t>
      </w:r>
    </w:p>
    <w:p w:rsidR="00BC1E49" w:rsidRPr="008B61D7" w:rsidRDefault="00BC1E49" w:rsidP="00BC1E49">
      <w:pPr>
        <w:keepNext/>
        <w:ind w:right="27"/>
        <w:jc w:val="both"/>
        <w:outlineLvl w:val="3"/>
        <w:rPr>
          <w:iCs/>
          <w:noProof/>
          <w:lang w:val="sr-Latn-CS"/>
        </w:rPr>
      </w:pPr>
    </w:p>
    <w:p w:rsidR="00BC1E49" w:rsidRPr="008B61D7" w:rsidRDefault="00BC1E49" w:rsidP="00BC1E49">
      <w:pPr>
        <w:keepNext/>
        <w:ind w:right="27"/>
        <w:jc w:val="both"/>
        <w:outlineLvl w:val="3"/>
        <w:rPr>
          <w:iCs/>
          <w:noProof/>
          <w:lang w:val="sr-Latn-CS"/>
        </w:rPr>
      </w:pPr>
    </w:p>
    <w:p w:rsidR="00BC1E49" w:rsidRPr="008B61D7" w:rsidRDefault="008B61D7" w:rsidP="00BC1E49">
      <w:pPr>
        <w:keepNext/>
        <w:tabs>
          <w:tab w:val="center" w:pos="7560"/>
        </w:tabs>
        <w:ind w:right="27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Broj</w:t>
      </w:r>
      <w:r w:rsidR="00BC1E49" w:rsidRPr="008B61D7">
        <w:rPr>
          <w:iCs/>
          <w:noProof/>
          <w:lang w:val="sr-Latn-CS"/>
        </w:rPr>
        <w:t>: 02/1-021-</w:t>
      </w:r>
      <w:r w:rsidR="007F39FD">
        <w:rPr>
          <w:iCs/>
          <w:noProof/>
          <w:lang w:val="sr-Latn-CS"/>
        </w:rPr>
        <w:t>1059</w:t>
      </w:r>
      <w:bookmarkStart w:id="0" w:name="_GoBack"/>
      <w:bookmarkEnd w:id="0"/>
      <w:r w:rsidR="00BC1E49" w:rsidRPr="008B61D7">
        <w:rPr>
          <w:iCs/>
          <w:noProof/>
          <w:lang w:val="sr-Latn-CS"/>
        </w:rPr>
        <w:t>/21</w:t>
      </w:r>
      <w:r w:rsidR="00BC1E49" w:rsidRPr="008B61D7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POTPREDSJEDNIK</w:t>
      </w:r>
      <w:r w:rsidR="00BC1E49" w:rsidRPr="008B61D7">
        <w:rPr>
          <w:iCs/>
          <w:noProof/>
          <w:lang w:val="sr-Latn-CS"/>
        </w:rPr>
        <w:t xml:space="preserve"> </w:t>
      </w:r>
    </w:p>
    <w:p w:rsidR="00BC1E49" w:rsidRPr="008B61D7" w:rsidRDefault="008B61D7" w:rsidP="00BC1E49">
      <w:pPr>
        <w:keepNext/>
        <w:tabs>
          <w:tab w:val="center" w:pos="7560"/>
        </w:tabs>
        <w:ind w:right="27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Datum</w:t>
      </w:r>
      <w:r w:rsidR="00DB3783">
        <w:rPr>
          <w:iCs/>
          <w:noProof/>
          <w:lang w:val="sr-Latn-CS"/>
        </w:rPr>
        <w:t>: 15</w:t>
      </w:r>
      <w:r w:rsidR="00BC1E49" w:rsidRPr="008B61D7">
        <w:rPr>
          <w:iCs/>
          <w:noProof/>
          <w:lang w:val="sr-Latn-CS"/>
        </w:rPr>
        <w:t xml:space="preserve">. </w:t>
      </w:r>
      <w:r>
        <w:rPr>
          <w:iCs/>
          <w:noProof/>
          <w:lang w:val="sr-Latn-CS"/>
        </w:rPr>
        <w:t>decembra</w:t>
      </w:r>
      <w:r w:rsidR="00BC1E49" w:rsidRPr="008B61D7">
        <w:rPr>
          <w:iCs/>
          <w:noProof/>
          <w:lang w:val="sr-Latn-CS"/>
        </w:rPr>
        <w:t xml:space="preserve"> 2021. </w:t>
      </w:r>
      <w:r>
        <w:rPr>
          <w:iCs/>
          <w:noProof/>
          <w:lang w:val="sr-Latn-CS"/>
        </w:rPr>
        <w:t>godine</w:t>
      </w:r>
      <w:r w:rsidR="00BC1E49" w:rsidRPr="008B61D7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NARODNE</w:t>
      </w:r>
      <w:r w:rsidR="00BC1E49" w:rsidRPr="008B61D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SKUPŠTINE</w:t>
      </w:r>
    </w:p>
    <w:p w:rsidR="00BC1E49" w:rsidRPr="008B61D7" w:rsidRDefault="00BC1E49" w:rsidP="00BC1E49">
      <w:pPr>
        <w:keepNext/>
        <w:ind w:right="27"/>
        <w:jc w:val="both"/>
        <w:outlineLvl w:val="3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 xml:space="preserve"> </w:t>
      </w:r>
    </w:p>
    <w:p w:rsidR="00BC1E49" w:rsidRPr="008B61D7" w:rsidRDefault="00BC1E49" w:rsidP="00BC1E49">
      <w:pPr>
        <w:tabs>
          <w:tab w:val="center" w:pos="7560"/>
        </w:tabs>
        <w:ind w:right="27"/>
        <w:jc w:val="both"/>
        <w:rPr>
          <w:iCs/>
          <w:noProof/>
          <w:lang w:val="sr-Latn-CS"/>
        </w:rPr>
      </w:pPr>
      <w:r w:rsidRPr="008B61D7">
        <w:rPr>
          <w:iCs/>
          <w:noProof/>
          <w:lang w:val="sr-Latn-CS"/>
        </w:rPr>
        <w:tab/>
      </w:r>
      <w:r w:rsidR="008B61D7">
        <w:rPr>
          <w:iCs/>
          <w:noProof/>
          <w:lang w:val="sr-Latn-CS"/>
        </w:rPr>
        <w:t>Denis</w:t>
      </w:r>
      <w:r w:rsidRPr="008B61D7">
        <w:rPr>
          <w:iCs/>
          <w:noProof/>
          <w:lang w:val="sr-Latn-CS"/>
        </w:rPr>
        <w:t xml:space="preserve"> </w:t>
      </w:r>
      <w:r w:rsidR="008B61D7">
        <w:rPr>
          <w:iCs/>
          <w:noProof/>
          <w:lang w:val="sr-Latn-CS"/>
        </w:rPr>
        <w:t>Šulić</w:t>
      </w:r>
    </w:p>
    <w:p w:rsidR="00BC1E49" w:rsidRPr="008B61D7" w:rsidRDefault="00BC1E49" w:rsidP="00BC1E49">
      <w:pPr>
        <w:tabs>
          <w:tab w:val="center" w:pos="7560"/>
        </w:tabs>
        <w:ind w:right="27"/>
        <w:rPr>
          <w:noProof/>
          <w:lang w:val="sr-Latn-CS"/>
        </w:rPr>
      </w:pPr>
      <w:r w:rsidRPr="008B61D7">
        <w:rPr>
          <w:noProof/>
          <w:lang w:val="sr-Latn-CS"/>
        </w:rPr>
        <w:t xml:space="preserve"> </w:t>
      </w:r>
    </w:p>
    <w:p w:rsidR="00552D70" w:rsidRPr="008B61D7" w:rsidRDefault="00552D70">
      <w:pPr>
        <w:rPr>
          <w:noProof/>
          <w:lang w:val="sr-Latn-CS"/>
        </w:rPr>
      </w:pPr>
    </w:p>
    <w:sectPr w:rsidR="00552D70" w:rsidRPr="008B61D7" w:rsidSect="00BC1E49">
      <w:pgSz w:w="11907" w:h="16839" w:code="9"/>
      <w:pgMar w:top="187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C2"/>
    <w:rsid w:val="00211C70"/>
    <w:rsid w:val="00273C59"/>
    <w:rsid w:val="00552D70"/>
    <w:rsid w:val="007F39FD"/>
    <w:rsid w:val="008B61D7"/>
    <w:rsid w:val="008E60ED"/>
    <w:rsid w:val="00962744"/>
    <w:rsid w:val="009F564A"/>
    <w:rsid w:val="00A06713"/>
    <w:rsid w:val="00A34DA6"/>
    <w:rsid w:val="00A36B20"/>
    <w:rsid w:val="00A6432B"/>
    <w:rsid w:val="00AB766B"/>
    <w:rsid w:val="00BC1E49"/>
    <w:rsid w:val="00BC5EF2"/>
    <w:rsid w:val="00BF60DD"/>
    <w:rsid w:val="00DB3783"/>
    <w:rsid w:val="00DC0A39"/>
    <w:rsid w:val="00DD7D34"/>
    <w:rsid w:val="00E90017"/>
    <w:rsid w:val="00FB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E49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BC1E4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E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E49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BC1E4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E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2EF5-A1CF-42A6-B914-4723D390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9</cp:revision>
  <cp:lastPrinted>2021-12-15T13:34:00Z</cp:lastPrinted>
  <dcterms:created xsi:type="dcterms:W3CDTF">2021-12-14T13:58:00Z</dcterms:created>
  <dcterms:modified xsi:type="dcterms:W3CDTF">2021-12-17T14:41:00Z</dcterms:modified>
</cp:coreProperties>
</file>